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ru"/>
        </w:rPr>
        <w:t xml:space="preserve">Kleemann │ Лидер в ресайклинге асфальта </w:t>
      </w:r>
    </w:p>
    <w:p w14:paraId="34A89D42" w14:textId="04FCE19B" w:rsidR="007C2FEE" w:rsidRPr="007313E6" w:rsidRDefault="0088586E" w:rsidP="007C2FEE">
      <w:pPr>
        <w:pStyle w:val="Subhead"/>
      </w:pPr>
      <w:r>
        <w:rPr>
          <w:bCs/>
          <w:iCs w:val="0"/>
          <w:lang w:val="ru"/>
        </w:rPr>
        <w:t>Объединенная мощь: мобильный виброгрохот MOBISCREEN MSS 502 EVO, роторная дробилка MOBIREX MR 100 NEO и два мобильных отвальных конвейера MOBIBELT</w:t>
      </w:r>
    </w:p>
    <w:p w14:paraId="43A5AB78" w14:textId="6B4B32EF" w:rsidR="007C2FEE" w:rsidRPr="007313E6" w:rsidRDefault="007313E6" w:rsidP="007C2FEE">
      <w:pPr>
        <w:pStyle w:val="Teaser"/>
      </w:pPr>
      <w:r>
        <w:rPr>
          <w:bCs/>
          <w:lang w:val="ru"/>
        </w:rPr>
        <w:t xml:space="preserve">Благодаря продуманной технологической цепочке, включающей инновационное оборудование и цифровые решения, вторичная переработка старого дорожного покрытия осуществляется эффективно и соответствует стандартам. При этом ключевую роль играет технологическая линия Kleemann: переработка снятого материала выполняется точно, экономически эффективно и с высокой производительностью. В то же время можно пользоваться преимуществами комплексного предложения Wirtgen Group. </w:t>
      </w:r>
    </w:p>
    <w:p w14:paraId="39990447" w14:textId="77777777" w:rsidR="00A8331C" w:rsidRPr="00DF749E" w:rsidRDefault="00A8331C" w:rsidP="00A8331C">
      <w:pPr>
        <w:pStyle w:val="Teaserhead"/>
      </w:pPr>
      <w:r>
        <w:rPr>
          <w:bCs/>
          <w:lang w:val="ru"/>
        </w:rPr>
        <w:t>От старого покрытия к новому материалу</w:t>
      </w:r>
    </w:p>
    <w:p w14:paraId="3E45E87E" w14:textId="7A2A837A" w:rsidR="00A8331C" w:rsidRPr="007313E6" w:rsidRDefault="00A8331C" w:rsidP="00A8331C">
      <w:pPr>
        <w:pStyle w:val="Fotos"/>
        <w:jc w:val="both"/>
        <w:rPr>
          <w:b w:val="0"/>
        </w:rPr>
      </w:pPr>
      <w:r>
        <w:rPr>
          <w:b w:val="0"/>
          <w:lang w:val="ru"/>
        </w:rPr>
        <w:t>С помощью новой технологической линии Kleemann, состоящей из грохота для сортировки крупнокусковых материалов MOBISCREEN MSS 502 EVO, роторной дробилки MOBIREX MR 100 NEO и отвального конвейера MBT 20, можно перерабатывать однородные фракции, получая заполнители, которые отвечают нормативным требованиям для повторного использования в асфальтобетонной смеси. Этот комплекс оборудования встраивается в производственный цикл: взаимодействие в процессе ресайклинга асфальта начинается с селективного (выборочного) фрезерования. Верхний слой износа, связующий слой и основание удаляются с помощью фрез Wirtgen по-отдельности, что повышает качество перерабатываемого материала. После грохочения и дробления с помощью комплекса оборудования Kleemann материал поступает на асфальтобетонные заводы. На этом этапе переработанный материал добавляют в новую асфальтобетонную смесь. Машины от Vögele и Hamm завершают процесс, выполняя укладку и уплотнение. На выходе получается слаженный и эффективный цикл – от демонтажа материала и его переработки до повторного использования.</w:t>
      </w:r>
    </w:p>
    <w:p w14:paraId="60794B06" w14:textId="4C02E4EB" w:rsidR="00A8331C" w:rsidRPr="007313E6" w:rsidRDefault="00A8331C" w:rsidP="00A8331C">
      <w:pPr>
        <w:pStyle w:val="Teaserhead"/>
      </w:pPr>
      <w:r>
        <w:rPr>
          <w:bCs/>
          <w:lang w:val="ru"/>
        </w:rPr>
        <w:t xml:space="preserve">Технологическая линия </w:t>
      </w:r>
      <w:r w:rsidRPr="00240509">
        <w:rPr>
          <w:bCs/>
          <w:lang w:val="ru"/>
        </w:rPr>
        <w:t>Kleemann</w:t>
      </w:r>
    </w:p>
    <w:p w14:paraId="500A0080" w14:textId="54AC99D5" w:rsidR="00AC1B04" w:rsidRPr="007313E6" w:rsidRDefault="00A8331C" w:rsidP="002D68F0">
      <w:pPr>
        <w:pStyle w:val="Listenabsatz"/>
        <w:spacing w:after="220"/>
        <w:ind w:left="0"/>
        <w:jc w:val="both"/>
      </w:pPr>
      <w:r>
        <w:rPr>
          <w:rFonts w:ascii="Verdana" w:hAnsi="Verdana"/>
          <w:sz w:val="22"/>
          <w:lang w:val="ru"/>
        </w:rPr>
        <w:t xml:space="preserve">Новая технологическая линия Kleemann эксплуатируется строительной компанией Kutter в регионе Альгой, недалеко от Меммингена. Сначала снятый асфальт подается на установку предварительного грохочения. Крупные глыбы размером &gt; 500 мм, образовавшиеся из фрезерованного материала в процессе хранения, предварительно измельчаются. Весь процесс состоит из отдельных этапов: на грохот для сортировки крупнокусковых материалов подается асфальтогранулят фракции 0-120 мм. MSS 502 EVO производит готовый к использованию конечный продукт, который содержит наибольшую долю битума. Второй продукт установки MSS 502 EVO по конвейеру для средней фракции и отвальному конвейеру MBT 20 «пропускается мимо» дробилки MR 100 NEO и подмешивается к ее конечному продукту (MR 100 NEO). Третий продукт MSS 502 EVO, надрешетный продукт, передается на дробилку MR 100 NEO, которая производит еще один конечный </w:t>
      </w:r>
      <w:r>
        <w:rPr>
          <w:rFonts w:ascii="Verdana" w:hAnsi="Verdana"/>
          <w:sz w:val="22"/>
          <w:lang w:val="ru"/>
        </w:rPr>
        <w:lastRenderedPageBreak/>
        <w:t>продукт. В результате получаются однородные конечные продукты, которые подаются на асфальтобетонный завод с максимальной долей добавления. Дополнительный отвальный конвейер MBT 24 обеспечивает формирование более крупных штабелей материала.</w:t>
      </w:r>
    </w:p>
    <w:p w14:paraId="6367C188" w14:textId="6DD77B23" w:rsidR="00A8331C" w:rsidRPr="007313E6" w:rsidRDefault="00A8331C" w:rsidP="002D68F0">
      <w:pPr>
        <w:pStyle w:val="Fotos"/>
        <w:jc w:val="both"/>
        <w:rPr>
          <w:b w:val="0"/>
        </w:rPr>
      </w:pPr>
      <w:r>
        <w:rPr>
          <w:b w:val="0"/>
          <w:lang w:val="ru"/>
        </w:rPr>
        <w:t>Симона Айхинер, руководитель отдела асфальтосмесительных установок в компании Kutter, очень довольна производительностью: «Дробилка и грохот выдают материал с пониженным содержанием мелкозернистых фракций, который лучше соответствует требованиям желаемой кривой зернового состава. Это важно для производства отвечающих нормам асфальтобетонных смесей. Кроме того, низкий расход топлива при одновременно возросшей часовой производительности снижает производственные расходы». Для компании с несколькими производственными площадками также является преимуществом тот факт, что мобильные установки Kleemann можно быстро перемещать и адаптировать к различным условиям на стройплощадке.</w:t>
      </w:r>
    </w:p>
    <w:p w14:paraId="1E78650F" w14:textId="77777777" w:rsidR="00A8331C" w:rsidRPr="007313E6" w:rsidRDefault="00A8331C" w:rsidP="00A8331C">
      <w:pPr>
        <w:pStyle w:val="Teaserhead"/>
      </w:pPr>
      <w:r>
        <w:rPr>
          <w:bCs/>
          <w:lang w:val="ru"/>
        </w:rPr>
        <w:t>Высокая производительность для ресайклинга</w:t>
      </w:r>
    </w:p>
    <w:p w14:paraId="0BC9C473" w14:textId="33425B43" w:rsidR="00A8331C" w:rsidRPr="007313E6" w:rsidRDefault="00A8331C" w:rsidP="00A8331C">
      <w:pPr>
        <w:pStyle w:val="Fotos"/>
        <w:jc w:val="both"/>
        <w:rPr>
          <w:b w:val="0"/>
        </w:rPr>
      </w:pPr>
      <w:r>
        <w:rPr>
          <w:b w:val="0"/>
          <w:lang w:val="ru"/>
        </w:rPr>
        <w:t xml:space="preserve">Комплекс оборудования Kleemann перерабатывает до 240 тонн в час. После измельчения в дробилке материал разделяется на две определенные фракции: 0-11 мм для верхних слоев и связующих слоев и 0-22 мм для оснований или связующих слоев. Обе фракции подаются в асфальтосмесительную установку и там используются в составе новой смеси. </w:t>
      </w:r>
    </w:p>
    <w:p w14:paraId="568214A4" w14:textId="4501E7D5" w:rsidR="00A8331C" w:rsidRPr="007313E6" w:rsidRDefault="00A8331C" w:rsidP="00A8331C">
      <w:pPr>
        <w:pStyle w:val="Fotos"/>
        <w:jc w:val="both"/>
        <w:rPr>
          <w:b w:val="0"/>
        </w:rPr>
      </w:pPr>
      <w:r>
        <w:rPr>
          <w:b w:val="0"/>
          <w:lang w:val="ru"/>
        </w:rPr>
        <w:t>Томас Гуггенмоос, оператор машины, доволен удобством управления и возможностью быстрого открытия дробилки благодаря системе Lock &amp; Turn Quick Access: «Эта система позволяет быстро и безопасно открывать дробилку для обслуживания и контроля, что действительно доказывает свою эффективность в повседневной работе. У нас мало простоев, и мы экономим время и нервы. В целом, доступ к основным точкам обслуживания действительно очень хороший».</w:t>
      </w:r>
    </w:p>
    <w:p w14:paraId="575EBF81" w14:textId="44BF6D0A" w:rsidR="00A8331C" w:rsidRPr="002D68F0" w:rsidRDefault="00A8331C" w:rsidP="00A8331C">
      <w:pPr>
        <w:pStyle w:val="Fotos"/>
        <w:jc w:val="both"/>
        <w:rPr>
          <w:b w:val="0"/>
        </w:rPr>
      </w:pPr>
      <w:r>
        <w:rPr>
          <w:b w:val="0"/>
          <w:lang w:val="ru"/>
        </w:rPr>
        <w:t>SPECTIVE CONNECT также хорошо зарекомендовал себя на объекте. Это цифровое приложение предоставляет информацию о расходе, производительности, загрузке и возможных неисправностях в реальном времени. Благодаря точной локализации неисправности можно значительно быстрее устранять перебои в работе. Таким образом, Томас Гуггенмоос может в любой момент проверить состояние установки. «Это делает все процессы эффективнее и позволяет избежать лишних перемещений и простоев».</w:t>
      </w:r>
    </w:p>
    <w:p w14:paraId="62678677" w14:textId="77777777" w:rsidR="007313E6" w:rsidRDefault="007313E6" w:rsidP="007313E6">
      <w:pPr>
        <w:pStyle w:val="Teaserhead"/>
      </w:pPr>
      <w:r>
        <w:rPr>
          <w:bCs/>
          <w:lang w:val="ru"/>
        </w:rPr>
        <w:t>Преимущества комплексного подхода</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ru"/>
        </w:rPr>
        <w:t>Решающее значение имеет не только производительность отдельных машин, но и взгляд на процесс в целом — от сбора переработанного материала (RC) до готового асфальта. Wirtgen Group с брендами Wirtgen, Vögele, Hamm, Kleemann и Benninghoven предлагает полный комплекс машин и установок из одних рук. При этом в компании Kutter особенно оценили консультации по применению, охватывающие все бренды. «Это взаимодействие оптимизирует весь процесс. На консультации применяется комплексный подход, выходящий за рамки отдельных аспектов. В центре внимания – применение, а не отдельные продукты. Это оказалось огромным преимуществом», — рассказывает Симона Айхинер. «Техническая поддержка, быстрая поставка запчастей, обучение работе с цифровыми инструментами — все это прекрасно взаимосвязано».</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ru"/>
        </w:rPr>
        <w:t>Данные и факты</w:t>
      </w:r>
    </w:p>
    <w:p w14:paraId="3577BDBA" w14:textId="2E8295DE" w:rsidR="00A8331C" w:rsidRPr="007313E6" w:rsidRDefault="00A8331C" w:rsidP="00A8331C">
      <w:pPr>
        <w:pStyle w:val="Fotos"/>
        <w:numPr>
          <w:ilvl w:val="0"/>
          <w:numId w:val="28"/>
        </w:numPr>
        <w:rPr>
          <w:b w:val="0"/>
          <w:szCs w:val="22"/>
        </w:rPr>
      </w:pPr>
      <w:r>
        <w:rPr>
          <w:b w:val="0"/>
          <w:szCs w:val="22"/>
          <w:lang w:val="ru"/>
        </w:rPr>
        <w:t>Загружаемый материал: снятый асфальт фракции 0-120 мм (включая отдельные глыбы асфальтогранулята длиной до 500 мм)</w:t>
      </w:r>
    </w:p>
    <w:p w14:paraId="4DB662B5" w14:textId="5F27CE7F" w:rsidR="00A8331C" w:rsidRPr="007313E6" w:rsidRDefault="00A8331C" w:rsidP="00A8331C">
      <w:pPr>
        <w:pStyle w:val="Fotos"/>
        <w:numPr>
          <w:ilvl w:val="0"/>
          <w:numId w:val="28"/>
        </w:numPr>
        <w:rPr>
          <w:b w:val="0"/>
          <w:szCs w:val="22"/>
        </w:rPr>
      </w:pPr>
      <w:r>
        <w:rPr>
          <w:b w:val="0"/>
          <w:szCs w:val="22"/>
          <w:lang w:val="ru"/>
        </w:rPr>
        <w:t>Конечный продукт: конечная крупность 0 -11 мм, конечная крупность 0-22 мм, для несущего слоя 0-32 мм</w:t>
      </w:r>
    </w:p>
    <w:p w14:paraId="68F5A74C" w14:textId="00DC3172" w:rsidR="00A8331C" w:rsidRPr="007313E6" w:rsidRDefault="00A8331C" w:rsidP="00A8331C">
      <w:pPr>
        <w:pStyle w:val="Fotos"/>
        <w:numPr>
          <w:ilvl w:val="0"/>
          <w:numId w:val="28"/>
        </w:numPr>
        <w:rPr>
          <w:b w:val="0"/>
          <w:szCs w:val="22"/>
        </w:rPr>
      </w:pPr>
      <w:r>
        <w:rPr>
          <w:b w:val="0"/>
          <w:szCs w:val="22"/>
          <w:lang w:val="ru"/>
        </w:rPr>
        <w:t>Производительность комплекса оборудования: 240 т/ч</w:t>
      </w:r>
    </w:p>
    <w:p w14:paraId="6C4C0B39" w14:textId="77777777" w:rsidR="00A8331C" w:rsidRPr="007313E6" w:rsidRDefault="00A8331C" w:rsidP="007C2FEE">
      <w:pPr>
        <w:pStyle w:val="Standardabsatz"/>
      </w:pPr>
    </w:p>
    <w:p w14:paraId="64ABBB85" w14:textId="024AAF51" w:rsidR="007C2FEE" w:rsidRPr="007313E6" w:rsidRDefault="007C2FEE" w:rsidP="00BC487A">
      <w:pPr>
        <w:rPr>
          <w:b/>
          <w:bCs/>
          <w:sz w:val="22"/>
          <w:szCs w:val="22"/>
        </w:rPr>
      </w:pPr>
      <w:r>
        <w:rPr>
          <w:b/>
          <w:bCs/>
          <w:sz w:val="22"/>
          <w:szCs w:val="22"/>
          <w:lang w:val="ru"/>
        </w:rPr>
        <w:t>Фотографии:</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ru"/>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ru"/>
        </w:rPr>
        <w:br/>
      </w:r>
      <w:r>
        <w:rPr>
          <w:bCs/>
          <w:lang w:val="ru"/>
        </w:rPr>
        <w:t>K_pic_MSS502EVO_MR100NEO_MBT20_memmingen_asphalt_0001</w:t>
      </w:r>
    </w:p>
    <w:p w14:paraId="5175B6C7" w14:textId="21CEB71B" w:rsidR="007F5DA5" w:rsidRDefault="007F5DA5" w:rsidP="00A8331C">
      <w:pPr>
        <w:pStyle w:val="BUnormal"/>
      </w:pPr>
      <w:r>
        <w:rPr>
          <w:lang w:val="ru"/>
        </w:rPr>
        <w:t>Технологическая линия Kleemann, состоящая из следующих машин: установка предварительного грохочения MOBISCREEN MSS 502 EVO, роторная дробилка MOBIREX MR 100 NEO и два мобильных отвальных конвейера MOBIBELT.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ru"/>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ru"/>
        </w:rPr>
        <w:br/>
      </w:r>
      <w:r>
        <w:rPr>
          <w:bCs/>
          <w:lang w:val="ru"/>
        </w:rPr>
        <w:t>K_pic_MSS502EVO_MR100NEO_MBT20_memmingen_asphalt_0006</w:t>
      </w:r>
    </w:p>
    <w:p w14:paraId="240BD101" w14:textId="12534065" w:rsidR="00A8331C" w:rsidRPr="00DF5C53" w:rsidRDefault="007F5DA5" w:rsidP="00A8331C">
      <w:pPr>
        <w:pStyle w:val="BUnormal"/>
        <w:rPr>
          <w:bCs/>
        </w:rPr>
      </w:pPr>
      <w:r>
        <w:rPr>
          <w:lang w:val="ru"/>
        </w:rPr>
        <w:t xml:space="preserve">Томас Гуггенмоос, оператор машины Kleemann, доволен удобством управления и возможностью быстрого открытия дробилки благодаря системе Lock &amp; Turn Quick Access. </w:t>
      </w:r>
      <w:r>
        <w:rPr>
          <w:lang w:val="ru"/>
        </w:rPr>
        <w:br/>
      </w:r>
    </w:p>
    <w:p w14:paraId="5BFBF390" w14:textId="10BFD428" w:rsidR="007C2FEE" w:rsidRPr="0005483E" w:rsidRDefault="0005483E" w:rsidP="00BA7BC5">
      <w:pPr>
        <w:pStyle w:val="BUbold"/>
        <w:rPr>
          <w:b w:val="0"/>
          <w:bCs/>
        </w:rPr>
      </w:pPr>
      <w:r>
        <w:rPr>
          <w:b w:val="0"/>
          <w:noProof/>
          <w:szCs w:val="20"/>
          <w:lang w:val="ru"/>
        </w:rPr>
        <w:lastRenderedPageBreak/>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ru"/>
        </w:rPr>
        <w:br/>
      </w:r>
      <w:r>
        <w:rPr>
          <w:bCs/>
          <w:lang w:val="ru"/>
        </w:rPr>
        <w:t>K_pic_MSS502EVO_MR100NEO_MBT20_memmingen_asphalt_0004</w:t>
      </w:r>
      <w:r>
        <w:rPr>
          <w:b w:val="0"/>
          <w:lang w:val="ru"/>
        </w:rPr>
        <w:br/>
        <w:t xml:space="preserve">Комплекс оборудования Kleemann перерабатывает до 240 тонн в час.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ru"/>
        </w:rPr>
        <w:t>Примечание: настоящие фотографии предназначены только для предварительного просмотра. В публикациях размещайте фотографии с разрешением 300 точек на дюйм (см. прилагаемые материалы для скачивания).</w:t>
      </w:r>
    </w:p>
    <w:p w14:paraId="717825D0" w14:textId="4B1B0DAB" w:rsidR="00B409DF" w:rsidRPr="0071618D" w:rsidRDefault="00B409DF" w:rsidP="00B409DF">
      <w:pPr>
        <w:pStyle w:val="Absatzberschrift"/>
        <w:rPr>
          <w:iCs/>
        </w:rPr>
      </w:pPr>
      <w:r>
        <w:rPr>
          <w:bCs/>
          <w:lang w:val="ru"/>
        </w:rPr>
        <w:t>Контакты для получения дополнительной информации:</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ru"/>
        </w:rPr>
        <w:t>WIRTGEN GROUP</w:t>
      </w:r>
    </w:p>
    <w:p w14:paraId="392C6846" w14:textId="77777777" w:rsidR="00B409DF" w:rsidRPr="0071618D" w:rsidRDefault="00B409DF" w:rsidP="00B409DF">
      <w:pPr>
        <w:pStyle w:val="Fuzeile1"/>
      </w:pPr>
      <w:r>
        <w:rPr>
          <w:bCs w:val="0"/>
          <w:iCs w:val="0"/>
          <w:lang w:val="ru"/>
        </w:rPr>
        <w:t>Public Relations</w:t>
      </w:r>
    </w:p>
    <w:p w14:paraId="77A90FFB" w14:textId="77777777" w:rsidR="00B409DF" w:rsidRPr="0071618D" w:rsidRDefault="00B409DF" w:rsidP="00B409DF">
      <w:pPr>
        <w:pStyle w:val="Fuzeile1"/>
      </w:pPr>
      <w:r>
        <w:rPr>
          <w:bCs w:val="0"/>
          <w:iCs w:val="0"/>
          <w:lang w:val="ru"/>
        </w:rPr>
        <w:t>Reinhard-Wirtgen-Straße 2</w:t>
      </w:r>
    </w:p>
    <w:p w14:paraId="2BD7061F" w14:textId="77777777" w:rsidR="00B409DF" w:rsidRPr="0071618D" w:rsidRDefault="00B409DF" w:rsidP="00B409DF">
      <w:pPr>
        <w:pStyle w:val="Fuzeile1"/>
      </w:pPr>
      <w:r>
        <w:rPr>
          <w:bCs w:val="0"/>
          <w:iCs w:val="0"/>
          <w:lang w:val="ru"/>
        </w:rPr>
        <w:t>53578 Windhagen</w:t>
      </w:r>
    </w:p>
    <w:p w14:paraId="7312A980" w14:textId="77777777" w:rsidR="00B409DF" w:rsidRPr="0071618D" w:rsidRDefault="00B409DF" w:rsidP="00B409DF">
      <w:pPr>
        <w:pStyle w:val="Fuzeile1"/>
      </w:pPr>
      <w:r>
        <w:rPr>
          <w:bCs w:val="0"/>
          <w:iCs w:val="0"/>
          <w:lang w:val="ru"/>
        </w:rPr>
        <w:t>Германия</w:t>
      </w:r>
    </w:p>
    <w:p w14:paraId="2DFD9654" w14:textId="77777777" w:rsidR="00B409DF" w:rsidRPr="0071618D" w:rsidRDefault="00B409DF" w:rsidP="00B409DF">
      <w:pPr>
        <w:pStyle w:val="Fuzeile1"/>
      </w:pPr>
    </w:p>
    <w:p w14:paraId="747CCDAF" w14:textId="78D0EB80" w:rsidR="00B409DF" w:rsidRPr="0071618D" w:rsidRDefault="00B409DF" w:rsidP="00240509">
      <w:pPr>
        <w:pStyle w:val="Fuzeile1"/>
        <w:tabs>
          <w:tab w:val="left" w:pos="1418"/>
        </w:tabs>
        <w:rPr>
          <w:rFonts w:ascii="Times New Roman" w:hAnsi="Times New Roman" w:cs="Times New Roman"/>
        </w:rPr>
      </w:pPr>
      <w:r>
        <w:rPr>
          <w:bCs w:val="0"/>
          <w:iCs w:val="0"/>
          <w:lang w:val="ru"/>
        </w:rPr>
        <w:t>Телефон:</w:t>
      </w:r>
      <w:r>
        <w:rPr>
          <w:bCs w:val="0"/>
          <w:iCs w:val="0"/>
          <w:lang w:val="ru"/>
        </w:rPr>
        <w:tab/>
        <w:t>+49 (0) 2645 131 – 1966</w:t>
      </w:r>
    </w:p>
    <w:p w14:paraId="72EBA31D" w14:textId="369121F8" w:rsidR="00B409DF" w:rsidRPr="0071618D" w:rsidRDefault="00B409DF" w:rsidP="00240509">
      <w:pPr>
        <w:pStyle w:val="Fuzeile1"/>
        <w:tabs>
          <w:tab w:val="left" w:pos="1418"/>
        </w:tabs>
      </w:pPr>
      <w:r>
        <w:rPr>
          <w:bCs w:val="0"/>
          <w:iCs w:val="0"/>
          <w:lang w:val="ru"/>
        </w:rPr>
        <w:t>Факс:</w:t>
      </w:r>
      <w:r>
        <w:rPr>
          <w:bCs w:val="0"/>
          <w:iCs w:val="0"/>
          <w:lang w:val="ru"/>
        </w:rPr>
        <w:tab/>
        <w:t>+49 (0) 2645 131 – 499</w:t>
      </w:r>
    </w:p>
    <w:p w14:paraId="51E322C9" w14:textId="62793690" w:rsidR="00B409DF" w:rsidRPr="0071618D" w:rsidRDefault="00B409DF" w:rsidP="00240509">
      <w:pPr>
        <w:pStyle w:val="Fuzeile1"/>
        <w:tabs>
          <w:tab w:val="left" w:pos="1418"/>
        </w:tabs>
        <w:rPr>
          <w:vanish/>
        </w:rPr>
      </w:pPr>
      <w:r>
        <w:rPr>
          <w:bCs w:val="0"/>
          <w:iCs w:val="0"/>
          <w:lang w:val="ru"/>
        </w:rPr>
        <w:t>E-mail:</w:t>
      </w:r>
      <w:r>
        <w:rPr>
          <w:bCs w:val="0"/>
          <w:iCs w:val="0"/>
          <w:lang w:val="ru"/>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240509" w:rsidP="00B409DF">
      <w:pPr>
        <w:pStyle w:val="Fuzeile1"/>
      </w:pPr>
      <w:hyperlink r:id="rId11" w:history="1">
        <w:r w:rsidR="00C25380">
          <w:rPr>
            <w:rStyle w:val="Hyperlink"/>
            <w:bCs w:val="0"/>
            <w:iCs w:val="0"/>
            <w:lang w:val="ru"/>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Tел.: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ru"/>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ru"/>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ru"/>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Company Use</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40509"/>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67622"/>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970</Words>
  <Characters>6117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2026-01-26T09:11:00Z</dcterms:created>
  <dcterms:modified xsi:type="dcterms:W3CDTF">2026-02-12T08:55:00Z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